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r>
        <w:rPr>
          <w:b/>
          <w:bCs/>
          <w:u w:val="single"/>
        </w:rPr>
        <w:t>Private &amp; Confidential</w:t>
      </w:r>
    </w:p>
    <w:p>
      <w:r>
        <w:t>[CNT:Name]</w:t>
      </w:r>
    </w:p>
    <w:p>
      <w:r>
        <w:t>[CNT:Address]</w:t>
      </w:r>
    </w:p>
    <w:p/>
    <w:p>
      <w:pPr>
        <w:rPr>
          <w:b/>
          <w:bCs/>
        </w:rPr>
      </w:pPr>
    </w:p>
    <w:p>
      <w:pPr>
        <w:rPr>
          <w:b/>
          <w:bCs/>
          <w:u w:val="single"/>
        </w:rPr>
      </w:pPr>
      <w:r>
        <w:rPr>
          <w:b/>
          <w:bCs/>
          <w:u w:val="single"/>
        </w:rPr>
        <w:t>Re:</w:t>
      </w:r>
      <w:r>
        <w:rPr>
          <w:b/>
          <w:bCs/>
          <w:u w:val="single"/>
        </w:rPr>
        <w:tab/>
        <w:t>Proposed purchase of house at [UDF:PropertyDesc]</w:t>
      </w:r>
    </w:p>
    <w:p/>
    <w:p/>
    <w:p>
      <w:r>
        <w:t>Dear [CNT:Salut],</w:t>
      </w:r>
    </w:p>
    <w:p/>
    <w:p>
      <w:r>
        <w:t>I refer to the above.</w:t>
      </w:r>
    </w:p>
    <w:p/>
    <w:p>
      <w:pPr>
        <w:pStyle w:val="BodyText"/>
      </w:pPr>
      <w:r>
        <w:t xml:space="preserve">I write to advise that I have now received Contacts for </w:t>
      </w:r>
      <w:smartTag w:uri="urn:schemas-microsoft-com:office:smarttags" w:element="City">
        <w:smartTag w:uri="urn:schemas-microsoft-com:office:smarttags" w:element="place">
          <w:r>
            <w:t>Sale</w:t>
          </w:r>
        </w:smartTag>
      </w:smartTag>
      <w:r>
        <w:t xml:space="preserve"> together with copy title in respect of the above property from the Solicitors representing the Developer.</w:t>
      </w:r>
    </w:p>
    <w:p>
      <w:pPr>
        <w:jc w:val="both"/>
      </w:pPr>
    </w:p>
    <w:p>
      <w:pPr>
        <w:jc w:val="both"/>
      </w:pPr>
      <w:r>
        <w:t xml:space="preserve">In their correspondence, the Developers Solicitors indicate that if you are proceeding, they insist on the return of signed Contracts and deposit not later than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pPr>
        <w:jc w:val="both"/>
      </w:pPr>
    </w:p>
    <w:p>
      <w:pPr>
        <w:jc w:val="both"/>
      </w:pPr>
      <w:r>
        <w:t xml:space="preserve">I enclose herewith a copy of the Contract for </w:t>
      </w:r>
      <w:smartTag w:uri="urn:schemas-microsoft-com:office:smarttags" w:element="City">
        <w:smartTag w:uri="urn:schemas-microsoft-com:office:smarttags" w:element="place">
          <w:r>
            <w:t>Sale</w:t>
          </w:r>
        </w:smartTag>
      </w:smartTag>
      <w:r>
        <w:t xml:space="preserve"> and Building Agreement which I have received.  Having considered the documentation and the copy title deeds furnished to me, I would now draw your attention to the following important matters:-</w:t>
      </w:r>
    </w:p>
    <w:p>
      <w:pPr>
        <w:jc w:val="both"/>
      </w:pPr>
    </w:p>
    <w:p>
      <w:pPr>
        <w:tabs>
          <w:tab w:val="left" w:pos="600"/>
        </w:tabs>
        <w:ind w:left="600" w:hanging="600"/>
        <w:jc w:val="both"/>
      </w:pPr>
      <w:r>
        <w:t>1</w:t>
      </w:r>
      <w:r>
        <w:tab/>
        <w:t>The Purchase Price of this property is €[UDF:PurchasePrice]. As usual, the Solicitors for the Developer are seeking a 10% deposit to be paid on signing Contracts i.e. a sum of €[UDF:PurchaseDeposit]. In the event that you have already paid a Booking Deposit to the Auctioneer, you may deduct this sum from the 10% deposit figure above.</w:t>
      </w:r>
    </w:p>
    <w:p>
      <w:pPr>
        <w:tabs>
          <w:tab w:val="left" w:pos="600"/>
        </w:tabs>
        <w:ind w:left="600" w:hanging="600"/>
        <w:jc w:val="both"/>
      </w:pPr>
    </w:p>
    <w:p>
      <w:pPr>
        <w:pStyle w:val="BodyTextIndent"/>
      </w:pPr>
      <w:r>
        <w:tab/>
        <w:t>In any event, on signing Contracts you will require a cheque/Bank Draft payable to the Solicitor for the Developer in respect of balance deposit.</w:t>
      </w:r>
    </w:p>
    <w:p>
      <w:pPr>
        <w:tabs>
          <w:tab w:val="left" w:pos="600"/>
        </w:tabs>
        <w:ind w:left="600" w:hanging="600"/>
        <w:jc w:val="both"/>
      </w:pPr>
    </w:p>
    <w:p>
      <w:pPr>
        <w:numPr>
          <w:ilvl w:val="0"/>
          <w:numId w:val="1"/>
        </w:numPr>
        <w:tabs>
          <w:tab w:val="left" w:pos="600"/>
        </w:tabs>
        <w:ind w:left="600" w:hanging="600"/>
        <w:jc w:val="both"/>
      </w:pPr>
      <w:r>
        <w:t xml:space="preserve">The property that you are purchasing comprises a new property in the course of construction.   As usual, it is sold by way of Contract for </w:t>
      </w:r>
      <w:smartTag w:uri="urn:schemas-microsoft-com:office:smarttags" w:element="City">
        <w:smartTag w:uri="urn:schemas-microsoft-com:office:smarttags" w:element="place">
          <w:r>
            <w:t>Sale</w:t>
          </w:r>
        </w:smartTag>
      </w:smartTag>
      <w:r>
        <w:t xml:space="preserve"> of site and Building Agreement for the construction thereof.  You should be aware that the Building Agreement is an Agreement to Build a property in accordance with Plans and Specifications furnished.  It is therefore vitally important that you obtain all relevant Plans and Specifications for the property as it is these Plans and Specifications which will determine the design, finish and construction of the house.  In the event that you have any queries or concerns in relation to the Plans and Specifications, I recommend that you engage the services of a reputable Architect or Engineer to advise you in this regard.</w:t>
      </w:r>
    </w:p>
    <w:p>
      <w:pPr>
        <w:tabs>
          <w:tab w:val="left" w:pos="600"/>
        </w:tabs>
        <w:ind w:left="600" w:hanging="600"/>
        <w:jc w:val="both"/>
      </w:pPr>
    </w:p>
    <w:p>
      <w:pPr>
        <w:tabs>
          <w:tab w:val="left" w:pos="600"/>
        </w:tabs>
        <w:ind w:left="600" w:hanging="600"/>
        <w:jc w:val="both"/>
      </w:pPr>
      <w:r>
        <w:tab/>
        <w:t xml:space="preserve">While you may well have seen a showhouse, model, drawing or representation of the property provided by the Estate Agent or representative in brochures, please be aware that any such representations, models or showhouses have no legal affect.  The Contracts which you will </w:t>
      </w:r>
      <w:r>
        <w:lastRenderedPageBreak/>
        <w:t>sign do not contain any reference to brochures, models or showhouses.  It is the Plans and Specifications alone that will determine the design, construction and finish of the property.  Such Plans and Specifications will prevail over and above any showhouse, model or brochure.</w:t>
      </w:r>
    </w:p>
    <w:p>
      <w:pPr>
        <w:tabs>
          <w:tab w:val="left" w:pos="600"/>
        </w:tabs>
        <w:ind w:left="600" w:hanging="600"/>
        <w:jc w:val="both"/>
      </w:pPr>
    </w:p>
    <w:p>
      <w:pPr>
        <w:numPr>
          <w:ilvl w:val="0"/>
          <w:numId w:val="1"/>
        </w:numPr>
        <w:tabs>
          <w:tab w:val="left" w:pos="600"/>
        </w:tabs>
        <w:ind w:left="600" w:hanging="600"/>
        <w:jc w:val="both"/>
      </w:pPr>
      <w:r>
        <w:t>You should also satisfy yourself in relation to what is and what is not included in the purchase price you are paying.  You should check carefully all available specifications to ascertain the fit out of the house.  For example, are you clear on what is included by way of fitted units, kitchen and bathroom fittings, bedroom fittings, built in wardrobes etc?</w:t>
      </w:r>
    </w:p>
    <w:p>
      <w:pPr>
        <w:tabs>
          <w:tab w:val="left" w:pos="600"/>
        </w:tabs>
        <w:ind w:left="600" w:hanging="600"/>
        <w:jc w:val="both"/>
      </w:pPr>
    </w:p>
    <w:p>
      <w:pPr>
        <w:numPr>
          <w:ilvl w:val="0"/>
          <w:numId w:val="1"/>
        </w:numPr>
        <w:tabs>
          <w:tab w:val="left" w:pos="600"/>
        </w:tabs>
        <w:ind w:left="600" w:hanging="600"/>
        <w:jc w:val="both"/>
      </w:pPr>
      <w:r>
        <w:t>I enclose herewith a copy of the Site Layout Plan for the property which has been furnished to me.  You should check this layout plan to ensure that it accurately shows the location of the property you wish to buy.  Be aware, however that this location map is furnished for identification purposes only.  The Contracts indicate that you cannot derive from the layout plan any precise guarantee as to the extent, dimensions or boundaries of your site.  In other words, you cannot take from the Site Map any guarantee as to how big or small the gardens of your site would be.</w:t>
      </w:r>
    </w:p>
    <w:p>
      <w:pPr>
        <w:jc w:val="both"/>
      </w:pPr>
    </w:p>
    <w:p>
      <w:pPr>
        <w:jc w:val="both"/>
      </w:pPr>
      <w:r>
        <w:t>Accordingly, you should take steps to satisfy yourself as to the size of your site and the location of its boundaries.  If the boundaries of the house have already been laid out and walls/fences constructed, then there will be no difficulty in this regard.  In those circumstances it should be pretty clear how big/small the site/gardens will be.  If on the other hand, the boundaries of this particular site have not yet been laid out then it is important that you make all necessary enquiries with the Builders/their Agents and have them mark out for you the location and the boundaries to your site.  Only then can you be satisfied as to how big/small your site will be and accordingly its gardens.</w:t>
      </w:r>
    </w:p>
    <w:p>
      <w:pPr>
        <w:jc w:val="both"/>
      </w:pPr>
    </w:p>
    <w:p>
      <w:pPr>
        <w:jc w:val="both"/>
      </w:pPr>
      <w:r>
        <w:t xml:space="preserve">I would recommend that you read the Special Conditions contained in the Contract for </w:t>
      </w:r>
      <w:smartTag w:uri="urn:schemas-microsoft-com:office:smarttags" w:element="City">
        <w:smartTag w:uri="urn:schemas-microsoft-com:office:smarttags" w:element="place">
          <w:r>
            <w:t>Sale</w:t>
          </w:r>
        </w:smartTag>
      </w:smartTag>
      <w:r>
        <w:t xml:space="preserve"> and Building Agreement in full.  I would draw your attention to the following matters, in particular which are provided for in the Special Conditions:-</w:t>
      </w:r>
    </w:p>
    <w:p>
      <w:pPr>
        <w:tabs>
          <w:tab w:val="left" w:pos="600"/>
        </w:tabs>
        <w:ind w:left="600" w:hanging="600"/>
        <w:jc w:val="both"/>
      </w:pPr>
    </w:p>
    <w:p>
      <w:pPr>
        <w:numPr>
          <w:ilvl w:val="0"/>
          <w:numId w:val="2"/>
        </w:numPr>
        <w:tabs>
          <w:tab w:val="left" w:pos="600"/>
        </w:tabs>
        <w:ind w:left="600" w:hanging="600"/>
        <w:jc w:val="both"/>
      </w:pPr>
      <w:r>
        <w:t>The Contracts herein reserve to the Developer the right to alter the overall development as it sees fit.  In other words, the Developer has the right to alter the location, size, layout and type of any dwelling (except for the particular dwelling being sold to you, which is governed by the Plans and Specifications furnished to you).  It also means that the Developer has the right to alter the location of any open spaces or amenity areas within the development subject to compliance with Planning Permission.  The size of the development may also be increased or decreased.</w:t>
      </w:r>
    </w:p>
    <w:p>
      <w:pPr>
        <w:tabs>
          <w:tab w:val="left" w:pos="600"/>
        </w:tabs>
        <w:ind w:left="600" w:hanging="600"/>
        <w:jc w:val="both"/>
      </w:pPr>
    </w:p>
    <w:p>
      <w:pPr>
        <w:pStyle w:val="BodyTextIndent"/>
      </w:pPr>
      <w:r>
        <w:tab/>
        <w:t>You should be aware that the Developer may do all of the above even though its actions may interfere with your site or your access to light and air.  By virtue of the Contract the Developer is not obliged to consult with you prior to making any of the alterations provided for.  Accordingly, if you have picked this particular house because of the fact that it is overlooking/adjoining/near to an open area or green area then it is important that you make further detailed enquiries with the developer to ensure that there will be no further change to the overall development plan which could impact upon you.</w:t>
      </w:r>
    </w:p>
    <w:p>
      <w:pPr>
        <w:tabs>
          <w:tab w:val="left" w:pos="600"/>
        </w:tabs>
        <w:ind w:left="600" w:hanging="600"/>
        <w:jc w:val="both"/>
      </w:pPr>
    </w:p>
    <w:p>
      <w:pPr>
        <w:tabs>
          <w:tab w:val="left" w:pos="600"/>
        </w:tabs>
        <w:ind w:left="600" w:hanging="600"/>
        <w:jc w:val="both"/>
      </w:pPr>
      <w:r>
        <w:lastRenderedPageBreak/>
        <w:tab/>
        <w:t>If it is the case that you have picked your particular property by virtue of its location relative to an amenity area/green area please advise me of this fact so that I may take further steps to protect your position.</w:t>
      </w:r>
    </w:p>
    <w:p>
      <w:pPr>
        <w:tabs>
          <w:tab w:val="left" w:pos="600"/>
        </w:tabs>
        <w:ind w:left="600" w:hanging="600"/>
        <w:jc w:val="both"/>
      </w:pPr>
    </w:p>
    <w:p>
      <w:pPr>
        <w:numPr>
          <w:ilvl w:val="0"/>
          <w:numId w:val="2"/>
        </w:numPr>
        <w:tabs>
          <w:tab w:val="left" w:pos="600"/>
        </w:tabs>
        <w:ind w:left="600" w:hanging="600"/>
        <w:jc w:val="both"/>
      </w:pPr>
      <w:r>
        <w:t>By virtue of the Contract, the Developer reserves to itself the right to apply for any Planning Permission required to alter any part of the Development other than your particular house.  In other words, the Developer reserves the right to alter the layout of the Estate without consulting you.  In signing the Contract you waive your right to object to any Planning application which the Developer may make in the future in relation to the Estate.</w:t>
      </w:r>
    </w:p>
    <w:p>
      <w:pPr>
        <w:tabs>
          <w:tab w:val="left" w:pos="600"/>
        </w:tabs>
        <w:ind w:left="600" w:hanging="600"/>
        <w:jc w:val="both"/>
      </w:pPr>
    </w:p>
    <w:p>
      <w:pPr>
        <w:numPr>
          <w:ilvl w:val="0"/>
          <w:numId w:val="2"/>
        </w:numPr>
        <w:tabs>
          <w:tab w:val="left" w:pos="600"/>
        </w:tabs>
        <w:ind w:left="600" w:hanging="600"/>
        <w:jc w:val="both"/>
      </w:pPr>
      <w:r>
        <w:t>The Special Conditions also contain an acknowledgement by you that the written Agreement entered into between yourself and the Developer represents the entirety of the Agreement in place between you.  In other words, once a Contract has been signed, its terms will prevail over and above any representation, warranty, guarantee or assurance given to you by the Developer or the Estate Agent prior to entering into the Contracts.  As you will see, you cannot rely on any promises, written, verbal or otherwise or any representations or warranties given to you by the Developer, Builder or Agents.  Any representations which have been made to you by the Builder or selling Agent should be reduced to writing and passed on to me so that I may include them in the Contract.</w:t>
      </w:r>
    </w:p>
    <w:p>
      <w:pPr>
        <w:tabs>
          <w:tab w:val="left" w:pos="600"/>
        </w:tabs>
        <w:ind w:left="600" w:hanging="600"/>
        <w:jc w:val="both"/>
      </w:pPr>
    </w:p>
    <w:p>
      <w:pPr>
        <w:numPr>
          <w:ilvl w:val="0"/>
          <w:numId w:val="2"/>
        </w:numPr>
        <w:tabs>
          <w:tab w:val="left" w:pos="600"/>
        </w:tabs>
        <w:ind w:left="600" w:hanging="600"/>
        <w:jc w:val="both"/>
      </w:pPr>
      <w:r>
        <w:t>In the event that you choose to have extras added to your property, these must be paid for by yourselves up front and in advance.  The Contract indicates that refunds of such monies will not be made to you under any circumstances.  If the transaction were not to proceed for some reason (by agreement between yourself and the Developer) and your initial deposits were to be refunded to you, in such circumstances monies paid for extras will not be refunded.  The guiding principal in relation to extras is that once you part with your money you will not see the money again.  If any extras remain unpaid for at closing, the Contractor may refuse to complete until such time as you have paid for them.  The Contractor may also deduct such costs from any refund that might fall due to you.</w:t>
      </w:r>
    </w:p>
    <w:p>
      <w:pPr>
        <w:tabs>
          <w:tab w:val="left" w:pos="600"/>
        </w:tabs>
        <w:ind w:left="600" w:hanging="600"/>
        <w:jc w:val="both"/>
      </w:pPr>
    </w:p>
    <w:p>
      <w:pPr>
        <w:numPr>
          <w:ilvl w:val="0"/>
          <w:numId w:val="2"/>
        </w:numPr>
        <w:tabs>
          <w:tab w:val="left" w:pos="600"/>
        </w:tabs>
        <w:ind w:left="600" w:hanging="600"/>
        <w:jc w:val="both"/>
      </w:pPr>
      <w:r>
        <w:rPr>
          <w:b/>
          <w:bCs/>
        </w:rPr>
        <w:t>Picking fixtures and fittings</w:t>
      </w:r>
      <w:r>
        <w:t>.  In the event that you have the opportunity to pick fixtures and fittings for your property, you will be obliged to do so within a certain specified period of time, generally fourteen days of being notified.  If you do not do so within the prescribed time period then the fact that such fixtures and fittings have not been included or completed by the time the house is built will not be a ground by which you can delay completion.  In other words it is in your own interest to keep in close touch with the Developer and/or its agents to ensure that whenever such an option arises in your favour in relation to the choice of internal fixtures and fittings that you act upon it within the prescribed time period.</w:t>
      </w:r>
    </w:p>
    <w:p>
      <w:pPr>
        <w:tabs>
          <w:tab w:val="left" w:pos="600"/>
        </w:tabs>
        <w:ind w:left="600" w:hanging="600"/>
        <w:jc w:val="both"/>
      </w:pPr>
    </w:p>
    <w:p>
      <w:pPr>
        <w:numPr>
          <w:ilvl w:val="0"/>
          <w:numId w:val="2"/>
        </w:numPr>
        <w:tabs>
          <w:tab w:val="left" w:pos="600"/>
        </w:tabs>
        <w:ind w:left="600" w:hanging="600"/>
        <w:jc w:val="both"/>
      </w:pPr>
      <w:r>
        <w:rPr>
          <w:b/>
          <w:bCs/>
        </w:rPr>
        <w:t xml:space="preserve">No right to assign Contacts:  </w:t>
      </w:r>
      <w:r>
        <w:t>By virtue of the Contracts conditions you are not entitled to assign the benefit/obligations of the Contract to any other party without the prior written consent of the Contractor/Developer.  The Special Conditions provide that in the event the Contractor agrees to consent to a proposed Assignment, the Developer may impose whatever conditions it considers reasonable to protect its interest, for example, it may require that you as original Purchaser continue to be responsible for full payment of the entirety of the purchase price until completion of the transaction by any sub Purchaser/Assignee.</w:t>
      </w:r>
    </w:p>
    <w:p>
      <w:pPr>
        <w:tabs>
          <w:tab w:val="left" w:pos="600"/>
        </w:tabs>
        <w:ind w:left="600" w:hanging="600"/>
        <w:jc w:val="both"/>
        <w:rPr>
          <w:b/>
          <w:bCs/>
        </w:rPr>
      </w:pPr>
    </w:p>
    <w:p>
      <w:pPr>
        <w:numPr>
          <w:ilvl w:val="0"/>
          <w:numId w:val="2"/>
        </w:numPr>
        <w:tabs>
          <w:tab w:val="left" w:pos="600"/>
        </w:tabs>
        <w:ind w:left="600" w:hanging="600"/>
        <w:jc w:val="both"/>
      </w:pPr>
      <w:r>
        <w:rPr>
          <w:b/>
          <w:bCs/>
        </w:rPr>
        <w:t xml:space="preserve">Any additional extras/alterations:  </w:t>
      </w:r>
      <w:r>
        <w:t xml:space="preserve">The Contract also provides that in the event that you engage the Developer to make any changes to the subject property, it will be your </w:t>
      </w:r>
      <w:r>
        <w:lastRenderedPageBreak/>
        <w:t>responsibility to ensure that all necessary Planning Permissions are obtained for the same i.e. the Developer will not accept responsibility for Planning matters for any alterations made to the original plans at your request.</w:t>
      </w:r>
    </w:p>
    <w:p>
      <w:pPr>
        <w:tabs>
          <w:tab w:val="left" w:pos="600"/>
        </w:tabs>
        <w:ind w:left="600" w:hanging="600"/>
        <w:jc w:val="both"/>
      </w:pPr>
    </w:p>
    <w:p>
      <w:pPr>
        <w:pStyle w:val="BodyText"/>
        <w:tabs>
          <w:tab w:val="left" w:pos="600"/>
        </w:tabs>
        <w:ind w:left="600" w:hanging="600"/>
      </w:pPr>
      <w:r>
        <w:tab/>
        <w:t>Please also be aware that any additions made to the property may affect whether or not the property qualifies for a Floor Area Certificate from the Department of Environment and Local Government.</w:t>
      </w:r>
    </w:p>
    <w:p>
      <w:pPr>
        <w:tabs>
          <w:tab w:val="left" w:pos="600"/>
        </w:tabs>
        <w:ind w:left="600" w:hanging="600"/>
        <w:jc w:val="both"/>
        <w:rPr>
          <w:b/>
          <w:bCs/>
        </w:rPr>
      </w:pPr>
    </w:p>
    <w:p>
      <w:pPr>
        <w:numPr>
          <w:ilvl w:val="0"/>
          <w:numId w:val="2"/>
        </w:numPr>
        <w:tabs>
          <w:tab w:val="left" w:pos="600"/>
        </w:tabs>
        <w:ind w:left="600" w:hanging="600"/>
        <w:jc w:val="both"/>
      </w:pPr>
      <w:r>
        <w:rPr>
          <w:b/>
          <w:bCs/>
        </w:rPr>
        <w:t xml:space="preserve">VAT:  </w:t>
      </w:r>
      <w:r>
        <w:t>The Special Conditions of the Contract provide that it is open to the Developer to alter the purchase price provided for to allow for any changes in the VAT rate affecting the sale of the site or building works.  In other words, any alteration which arises on the rate of VAT, coming into being after the exchange of Contracts, will be passed on to you.</w:t>
      </w:r>
    </w:p>
    <w:p>
      <w:pPr>
        <w:tabs>
          <w:tab w:val="left" w:pos="600"/>
        </w:tabs>
        <w:jc w:val="both"/>
      </w:pPr>
    </w:p>
    <w:p>
      <w:pPr>
        <w:numPr>
          <w:ilvl w:val="0"/>
          <w:numId w:val="2"/>
        </w:numPr>
        <w:tabs>
          <w:tab w:val="left" w:pos="600"/>
        </w:tabs>
        <w:ind w:left="600" w:hanging="600"/>
        <w:jc w:val="both"/>
      </w:pPr>
      <w:r>
        <w:rPr>
          <w:b/>
          <w:bCs/>
        </w:rPr>
        <w:t xml:space="preserve">House deemed completed even if common areas not finished:  </w:t>
      </w:r>
      <w:r>
        <w:t>By virtue of the conditions, your house is deemed to be fully complete and finished even if all the common areas and works within the development have not been fully completed.  Provided you have reasonable means of access to the site you may be forced to complete the purchase on the basis that the Developer will furnish an Indemnity and an undertaking to finish the construction of the roads and services.</w:t>
      </w:r>
    </w:p>
    <w:p>
      <w:pPr>
        <w:tabs>
          <w:tab w:val="left" w:pos="600"/>
        </w:tabs>
        <w:jc w:val="both"/>
      </w:pPr>
    </w:p>
    <w:p>
      <w:pPr>
        <w:numPr>
          <w:ilvl w:val="0"/>
          <w:numId w:val="2"/>
        </w:numPr>
        <w:tabs>
          <w:tab w:val="left" w:pos="600"/>
        </w:tabs>
        <w:ind w:left="600" w:hanging="600"/>
        <w:jc w:val="both"/>
      </w:pPr>
      <w:r>
        <w:rPr>
          <w:b/>
          <w:bCs/>
        </w:rPr>
        <w:t xml:space="preserve">ESB connection: </w:t>
      </w:r>
      <w:r>
        <w:t>On a practical note, in general, the Developer will arrange for the connection of a mains ESB supply to the site but it will not be the Contractors responsibility to set up/enter into an account with the ESB for the supply of part of the dwelling.  It will be up to you to ensure that an account is entered into with the ESB for the supply of electricity to the particular house.  In the event that there is any delay with the setting up of a Contract with the ESB, which results in a delay in supplying ESB to the house will not be a ground to delay completion.</w:t>
      </w:r>
    </w:p>
    <w:p>
      <w:pPr>
        <w:tabs>
          <w:tab w:val="left" w:pos="600"/>
        </w:tabs>
        <w:jc w:val="both"/>
        <w:rPr>
          <w:b/>
          <w:bCs/>
        </w:rPr>
      </w:pPr>
    </w:p>
    <w:p>
      <w:pPr>
        <w:numPr>
          <w:ilvl w:val="0"/>
          <w:numId w:val="2"/>
        </w:numPr>
        <w:tabs>
          <w:tab w:val="left" w:pos="600"/>
        </w:tabs>
        <w:ind w:left="600" w:hanging="600"/>
        <w:jc w:val="both"/>
      </w:pPr>
      <w:r>
        <w:rPr>
          <w:b/>
          <w:bCs/>
        </w:rPr>
        <w:t xml:space="preserve">Standing trees:  </w:t>
      </w:r>
      <w:r>
        <w:t>The conditions indicate that in the event that there are growing or standing trees on the property, you will buy with full notice of same.  Accordingly, it is up to you to inspect the plans for the site and the site itself to ascertain if your site will be any growing or standing trees on it.</w:t>
      </w:r>
    </w:p>
    <w:p>
      <w:pPr>
        <w:tabs>
          <w:tab w:val="left" w:pos="600"/>
        </w:tabs>
        <w:jc w:val="both"/>
        <w:rPr>
          <w:b/>
          <w:bCs/>
        </w:rPr>
      </w:pPr>
    </w:p>
    <w:p>
      <w:pPr>
        <w:numPr>
          <w:ilvl w:val="0"/>
          <w:numId w:val="2"/>
        </w:numPr>
        <w:tabs>
          <w:tab w:val="left" w:pos="600"/>
        </w:tabs>
        <w:ind w:left="600" w:hanging="600"/>
        <w:jc w:val="both"/>
        <w:rPr>
          <w:b/>
          <w:bCs/>
        </w:rPr>
      </w:pPr>
      <w:r>
        <w:rPr>
          <w:b/>
          <w:bCs/>
        </w:rPr>
        <w:t xml:space="preserve">General/funding:  </w:t>
      </w:r>
      <w:r>
        <w:t>As you are aware, once you sign the Contract to buy you enter into a binding and unconditional commitment to purchase the property.  The Developers will not accept Contracts signed subject to loan approval or subject to the sale of any other property.  In other words, once you commit to the Contract there is no going back.  Once you sign a Contract to purchase the dwellinghouse you are legally obliged to proceed to complete and pay over the balance of the purchase monies when required to do so.  Failure to pay the balance of the purchase monies within 14 days of being required so to do may lead to two very penal and onerous sanctions:-</w:t>
      </w:r>
    </w:p>
    <w:p>
      <w:pPr>
        <w:tabs>
          <w:tab w:val="left" w:pos="1080"/>
        </w:tabs>
        <w:ind w:left="1080" w:hanging="480"/>
        <w:jc w:val="both"/>
      </w:pPr>
    </w:p>
    <w:p>
      <w:pPr>
        <w:pStyle w:val="BodyText"/>
        <w:numPr>
          <w:ilvl w:val="0"/>
          <w:numId w:val="3"/>
        </w:numPr>
        <w:tabs>
          <w:tab w:val="left" w:pos="1080"/>
        </w:tabs>
        <w:ind w:hanging="480"/>
      </w:pPr>
      <w:r>
        <w:t>The Developer may charge you interest at a penal rate on the outstanding monies.</w:t>
      </w:r>
    </w:p>
    <w:p>
      <w:pPr>
        <w:tabs>
          <w:tab w:val="left" w:pos="1080"/>
        </w:tabs>
        <w:ind w:left="1080" w:hanging="480"/>
        <w:jc w:val="both"/>
      </w:pPr>
    </w:p>
    <w:p>
      <w:pPr>
        <w:pStyle w:val="BodyText"/>
        <w:numPr>
          <w:ilvl w:val="0"/>
          <w:numId w:val="3"/>
        </w:numPr>
        <w:tabs>
          <w:tab w:val="left" w:pos="1080"/>
        </w:tabs>
        <w:ind w:hanging="480"/>
      </w:pPr>
      <w:r>
        <w:t>The Developer may serve a further notice giving 14 days, on the expiration of which he may rescind the Contract or forfeit your deposit.</w:t>
      </w:r>
    </w:p>
    <w:p>
      <w:pPr>
        <w:tabs>
          <w:tab w:val="left" w:pos="600"/>
        </w:tabs>
        <w:jc w:val="both"/>
      </w:pPr>
    </w:p>
    <w:p>
      <w:pPr>
        <w:pStyle w:val="BodyText"/>
        <w:tabs>
          <w:tab w:val="left" w:pos="600"/>
        </w:tabs>
      </w:pPr>
      <w:r>
        <w:t>For the above reasons it is vitally important that you satisfy yourself that you will have funds available as required.  If you are obtaining a loan it is imperative that you have a letter of loan offer from your lending institution setting out the terms and conditions upon which they will lend prior to entering into Contracts.</w:t>
      </w:r>
    </w:p>
    <w:p>
      <w:pPr>
        <w:tabs>
          <w:tab w:val="left" w:pos="600"/>
        </w:tabs>
        <w:ind w:left="600" w:hanging="600"/>
        <w:jc w:val="both"/>
        <w:rPr>
          <w:b/>
          <w:bCs/>
        </w:rPr>
      </w:pPr>
    </w:p>
    <w:p>
      <w:pPr>
        <w:numPr>
          <w:ilvl w:val="0"/>
          <w:numId w:val="2"/>
        </w:numPr>
        <w:tabs>
          <w:tab w:val="left" w:pos="600"/>
        </w:tabs>
        <w:ind w:left="600" w:hanging="600"/>
        <w:jc w:val="both"/>
      </w:pPr>
      <w:r>
        <w:rPr>
          <w:b/>
          <w:bCs/>
        </w:rPr>
        <w:t xml:space="preserve">Loan Offer:  </w:t>
      </w:r>
      <w:r>
        <w:t>Please be aware that loan approvals are subject to a number of conditions as follows:-</w:t>
      </w:r>
    </w:p>
    <w:p>
      <w:pPr>
        <w:tabs>
          <w:tab w:val="left" w:pos="600"/>
        </w:tabs>
        <w:ind w:left="600" w:hanging="600"/>
        <w:jc w:val="both"/>
      </w:pPr>
    </w:p>
    <w:p>
      <w:pPr>
        <w:numPr>
          <w:ilvl w:val="1"/>
          <w:numId w:val="3"/>
        </w:numPr>
        <w:tabs>
          <w:tab w:val="left" w:pos="600"/>
        </w:tabs>
        <w:ind w:left="600"/>
        <w:jc w:val="both"/>
      </w:pPr>
      <w:r>
        <w:rPr>
          <w:b/>
          <w:bCs/>
        </w:rPr>
        <w:t>Life Insurance/Mortgage Protection Cover:</w:t>
      </w:r>
      <w:r>
        <w:t xml:space="preserve">  In order for loan funds to issue it will be necessary for you to put in place Life Assurance/Mortgage Protection Insurance to the satisfaction of your lending agency.  You should be aware that the lending agency will not issue your loan cheque to enable you complete the purchase until such time as Life Assurance or Mortgage Protection Cover has been put in place.  Please be aware that in order to obtain such Life Assurance/Mortgage Protection Cover it may be necessary for you to fill out medical questionnaires or have a questionnaire filled out by your General Practitioner.  At their option the Life Assurance Company may require you to attend a medical examination.</w:t>
      </w:r>
    </w:p>
    <w:p>
      <w:pPr>
        <w:tabs>
          <w:tab w:val="left" w:pos="600"/>
        </w:tabs>
        <w:ind w:left="600" w:hanging="600"/>
        <w:jc w:val="both"/>
      </w:pPr>
    </w:p>
    <w:p>
      <w:pPr>
        <w:pStyle w:val="BodyTextIndent"/>
      </w:pPr>
      <w:r>
        <w:tab/>
        <w:t>With the passage of time the delays involved in obtaining Mortgage Protection Insurance and Life Cover have increased dramatically.  Please ensure that you allow sufficient time to deal with these matters.</w:t>
      </w:r>
    </w:p>
    <w:p>
      <w:pPr>
        <w:tabs>
          <w:tab w:val="left" w:pos="600"/>
        </w:tabs>
        <w:ind w:left="600" w:hanging="600"/>
        <w:jc w:val="both"/>
      </w:pPr>
    </w:p>
    <w:p>
      <w:pPr>
        <w:numPr>
          <w:ilvl w:val="1"/>
          <w:numId w:val="3"/>
        </w:numPr>
        <w:tabs>
          <w:tab w:val="left" w:pos="600"/>
        </w:tabs>
        <w:ind w:left="600"/>
        <w:jc w:val="both"/>
      </w:pPr>
      <w:r>
        <w:t>Your lending institution will also require that you have Buildings Insurance in place on the new property to a level with which they are satisfied.  They will require that their interest be noted by the Insurance Company on the Insurance Policy in respect of the property.  Until such time as they are satisfied with these matters they will not issue funds.</w:t>
      </w:r>
    </w:p>
    <w:p>
      <w:pPr>
        <w:tabs>
          <w:tab w:val="left" w:pos="600"/>
        </w:tabs>
        <w:jc w:val="both"/>
      </w:pPr>
    </w:p>
    <w:p>
      <w:pPr>
        <w:tabs>
          <w:tab w:val="left" w:pos="600"/>
        </w:tabs>
        <w:jc w:val="both"/>
      </w:pPr>
      <w:r>
        <w:t>No doubt having read the within you will have many questions and comments.</w:t>
      </w:r>
    </w:p>
    <w:p>
      <w:pPr>
        <w:tabs>
          <w:tab w:val="left" w:pos="600"/>
        </w:tabs>
        <w:jc w:val="both"/>
      </w:pPr>
    </w:p>
    <w:p>
      <w:pPr>
        <w:tabs>
          <w:tab w:val="left" w:pos="600"/>
        </w:tabs>
        <w:jc w:val="both"/>
      </w:pPr>
      <w:r>
        <w:t>Perhaps having considered same you would telephone my office to make an appointment to call and see me.</w:t>
      </w:r>
    </w:p>
    <w:p>
      <w:pPr>
        <w:tabs>
          <w:tab w:val="left" w:pos="600"/>
        </w:tabs>
        <w:jc w:val="both"/>
      </w:pPr>
    </w:p>
    <w:p>
      <w:pPr>
        <w:tabs>
          <w:tab w:val="left" w:pos="600"/>
        </w:tabs>
        <w:jc w:val="both"/>
      </w:pPr>
      <w:r>
        <w:t>Best wishes.</w:t>
      </w:r>
    </w:p>
    <w:p>
      <w:pPr>
        <w:tabs>
          <w:tab w:val="left" w:pos="600"/>
        </w:tabs>
        <w:jc w:val="both"/>
        <w:rPr>
          <w:b/>
          <w:bCs/>
        </w:rPr>
      </w:pPr>
    </w:p>
    <w:p>
      <w:pPr>
        <w:tabs>
          <w:tab w:val="left" w:pos="600"/>
        </w:tabs>
        <w:jc w:val="both"/>
      </w:pPr>
      <w:r>
        <w:t>Yours sincerely,</w:t>
      </w:r>
    </w:p>
    <w:p/>
    <w:p/>
    <w:p>
      <w:r>
        <w:t>______________________</w:t>
      </w:r>
    </w:p>
    <w:p>
      <w:r>
        <w:t>[MAT:FeName]</w:t>
      </w:r>
    </w:p>
    <w:p>
      <w:r>
        <w:t>[SYS:CON:Name]</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94B11"/>
    <w:multiLevelType w:val="hybridMultilevel"/>
    <w:tmpl w:val="726280AA"/>
    <w:lvl w:ilvl="0" w:tplc="B90C7E5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F22E1A"/>
    <w:multiLevelType w:val="hybridMultilevel"/>
    <w:tmpl w:val="B64C397A"/>
    <w:lvl w:ilvl="0" w:tplc="2DE8A718">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7B4A96"/>
    <w:multiLevelType w:val="hybridMultilevel"/>
    <w:tmpl w:val="977CD784"/>
    <w:lvl w:ilvl="0" w:tplc="F22AFBF6">
      <w:start w:val="1"/>
      <w:numFmt w:val="lowerRoman"/>
      <w:lvlText w:val="(%1)"/>
      <w:lvlJc w:val="left"/>
      <w:pPr>
        <w:tabs>
          <w:tab w:val="num" w:pos="1080"/>
        </w:tabs>
        <w:ind w:left="1080" w:hanging="720"/>
      </w:pPr>
      <w:rPr>
        <w:rFonts w:hint="default"/>
      </w:rPr>
    </w:lvl>
    <w:lvl w:ilvl="1" w:tplc="8A9C2B62">
      <w:start w:val="1"/>
      <w:numFmt w:val="lowerLetter"/>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95E66602-7285-400A-8AF4-092FF5AF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
    <w:name w:val="Body Text"/>
    <w:basedOn w:val="Normal"/>
    <w:pPr>
      <w:jc w:val="both"/>
    </w:pPr>
  </w:style>
  <w:style w:type="paragraph" w:styleId="BodyTextIndent">
    <w:name w:val="Body Text Indent"/>
    <w:basedOn w:val="Normal"/>
    <w:pPr>
      <w:tabs>
        <w:tab w:val="left" w:pos="600"/>
      </w:tabs>
      <w:ind w:left="600" w:hanging="600"/>
      <w:jc w:val="both"/>
    </w:p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2158</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Art Kavanagh</cp:lastModifiedBy>
  <cp:revision>2</cp:revision>
  <cp:lastPrinted>2010-09-17T10:09:00Z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92058</vt:lpwstr>
  </property>
  <property fmtid="{D5CDD505-2E9C-101B-9397-08002B2CF9AE}" pid="3" name="KeyhouseMatterReference">
    <vt:lpwstr>MIS009/0001</vt:lpwstr>
  </property>
</Properties>
</file>